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6C096" w14:textId="365C19D2" w:rsidR="00167AA6" w:rsidRDefault="00D54B06">
      <w:hyperlink r:id="rId4" w:history="1">
        <w:r w:rsidRPr="00163DCA">
          <w:rPr>
            <w:rStyle w:val="a3"/>
          </w:rPr>
          <w:t>https://litgid.com/read/rukovodstvo_dlya_sledovatelya_i_doznavatelya_po_rassledovaniyu_otdelnykh_vidov_prestupleniy/page-5.php</w:t>
        </w:r>
      </w:hyperlink>
    </w:p>
    <w:p w14:paraId="10171EB3" w14:textId="77777777" w:rsidR="00D54B06" w:rsidRDefault="00D54B06"/>
    <w:sectPr w:rsidR="00D54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AA6"/>
    <w:rsid w:val="00167AA6"/>
    <w:rsid w:val="00D5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09531"/>
  <w15:chartTrackingRefBased/>
  <w15:docId w15:val="{7D51B1C5-F004-4556-9792-8C105435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4B0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54B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tgid.com/read/rukovodstvo_dlya_sledovatelya_i_doznavatelya_po_rassledovaniyu_otdelnykh_vidov_prestupleniy/page-5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2024-02-29T09:42:00Z</dcterms:created>
  <dcterms:modified xsi:type="dcterms:W3CDTF">2024-02-29T09:42:00Z</dcterms:modified>
</cp:coreProperties>
</file>